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w w:val="100"/>
          <w:sz w:val="44"/>
          <w:szCs w:val="44"/>
          <w:lang w:eastAsia="zh-CN"/>
        </w:rPr>
        <w:t>安庆市桐城文化教育发展基金会教育奖励申请表</w:t>
      </w:r>
    </w:p>
    <w:p>
      <w:pPr>
        <w:rPr>
          <w:rFonts w:hint="eastAsia" w:ascii="宋体" w:hAnsi="宋体" w:eastAsia="宋体" w:cs="宋体"/>
          <w:w w:val="90"/>
          <w:sz w:val="44"/>
          <w:szCs w:val="44"/>
          <w:lang w:eastAsia="zh-CN"/>
        </w:rPr>
      </w:pP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483"/>
        <w:gridCol w:w="1775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奖励项目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申请人（单位）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符合《基金会教育奖励办法》相关条款基本情况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所在学校（学区）意见</w:t>
            </w:r>
          </w:p>
        </w:tc>
        <w:tc>
          <w:tcPr>
            <w:tcW w:w="6968" w:type="dxa"/>
            <w:gridSpan w:val="3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基金会审批意见</w:t>
            </w:r>
          </w:p>
        </w:tc>
        <w:tc>
          <w:tcPr>
            <w:tcW w:w="6968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 w:colFirst="1" w:colLast="3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申请人（单位）需提供符合《基金会教育奖励办法》相应条款的证明材料（原件、复印件各一份）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2、对弄虚作假骗取奖励资金的，一经查实，全额追回奖励资金，并追究相关责任人和直接责任人的责任。</w:t>
            </w:r>
          </w:p>
        </w:tc>
      </w:tr>
      <w:bookmarkEnd w:id="0"/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0A14"/>
    <w:multiLevelType w:val="singleLevel"/>
    <w:tmpl w:val="620E0A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D19CE"/>
    <w:rsid w:val="4863430B"/>
    <w:rsid w:val="577559E5"/>
    <w:rsid w:val="66A232FA"/>
    <w:rsid w:val="66B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2020-09-04T07:31:00Z</dcterms:created>
  <dc:creator>willow</dc:creator>
  <cp:lastModifiedBy>willow</cp:lastModifiedBy>
  <cp:lastPrinted>2020-09-07T01:37:00Z</cp:lastPrinted>
  <dcterms:modified xsi:type="dcterms:W3CDTF">2020-09-07T02:43:01Z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